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CC" w:rsidRPr="00C1680D" w:rsidRDefault="001E19CC" w:rsidP="00C1680D">
      <w:pPr>
        <w:jc w:val="center"/>
        <w:rPr>
          <w:rFonts w:ascii="Times New Roman" w:hAnsi="Times New Roman" w:cs="Times New Roman"/>
          <w:b/>
          <w:bCs/>
          <w:sz w:val="24"/>
          <w:szCs w:val="24"/>
        </w:rPr>
      </w:pPr>
      <w:r w:rsidRPr="00C1680D">
        <w:rPr>
          <w:rFonts w:ascii="Times New Roman" w:hAnsi="Times New Roman" w:cs="Times New Roman"/>
          <w:b/>
          <w:bCs/>
          <w:sz w:val="24"/>
          <w:szCs w:val="24"/>
        </w:rPr>
        <w:t>ANATOMY</w:t>
      </w:r>
    </w:p>
    <w:p w:rsidR="001E19CC" w:rsidRPr="00C1680D" w:rsidRDefault="001E19CC" w:rsidP="00C1680D">
      <w:pPr>
        <w:pStyle w:val="ListParagraph"/>
        <w:numPr>
          <w:ilvl w:val="0"/>
          <w:numId w:val="1"/>
        </w:numPr>
        <w:spacing w:line="276" w:lineRule="auto"/>
        <w:ind w:left="0"/>
        <w:rPr>
          <w:rFonts w:cs="Times New Roman"/>
        </w:rPr>
      </w:pPr>
      <w:r w:rsidRPr="00C1680D">
        <w:rPr>
          <w:rFonts w:cs="Times New Roman"/>
        </w:rPr>
        <w:t xml:space="preserve">The ramification pattern of portal vein in left lobe of human liver studied by corrosion cast method. Ajay Singh Rajput, Heena Singh, Gyan Prakash Mishra, Sangeeta Kumari. </w:t>
      </w:r>
    </w:p>
    <w:p w:rsidR="001E19CC" w:rsidRPr="00C1680D" w:rsidRDefault="001E19CC" w:rsidP="00C1680D">
      <w:pPr>
        <w:pStyle w:val="ListParagraph"/>
        <w:spacing w:line="276" w:lineRule="auto"/>
        <w:ind w:left="0"/>
        <w:rPr>
          <w:rFonts w:cs="Times New Roman"/>
        </w:rPr>
      </w:pPr>
      <w:r w:rsidRPr="00C1680D">
        <w:rPr>
          <w:rFonts w:cs="Times New Roman"/>
        </w:rPr>
        <w:t>International Journal of Scientific Research| Volume – 10 | Issue – 02| February 2021| -</w:t>
      </w:r>
    </w:p>
    <w:p w:rsidR="009D752F" w:rsidRPr="00C1680D" w:rsidRDefault="009D752F" w:rsidP="00C1680D">
      <w:pPr>
        <w:rPr>
          <w:rFonts w:ascii="Times New Roman" w:hAnsi="Times New Roman" w:cs="Times New Roman"/>
          <w:sz w:val="24"/>
          <w:szCs w:val="24"/>
        </w:rPr>
      </w:pPr>
    </w:p>
    <w:p w:rsidR="009D752F" w:rsidRPr="00C1680D" w:rsidRDefault="00FB606A" w:rsidP="00C1680D">
      <w:pPr>
        <w:tabs>
          <w:tab w:val="left" w:pos="4200"/>
        </w:tabs>
        <w:rPr>
          <w:rFonts w:ascii="Times New Roman" w:hAnsi="Times New Roman" w:cs="Times New Roman"/>
          <w:b/>
          <w:bCs/>
          <w:sz w:val="24"/>
          <w:szCs w:val="24"/>
        </w:rPr>
      </w:pPr>
      <w:r w:rsidRPr="00C1680D">
        <w:rPr>
          <w:rFonts w:ascii="Times New Roman" w:hAnsi="Times New Roman" w:cs="Times New Roman"/>
          <w:sz w:val="24"/>
          <w:szCs w:val="24"/>
        </w:rPr>
        <w:tab/>
      </w:r>
      <w:r w:rsidRPr="00C1680D">
        <w:rPr>
          <w:rFonts w:ascii="Times New Roman" w:hAnsi="Times New Roman" w:cs="Times New Roman"/>
          <w:b/>
          <w:bCs/>
          <w:sz w:val="24"/>
          <w:szCs w:val="24"/>
        </w:rPr>
        <w:t>PATHOLOGY</w:t>
      </w:r>
    </w:p>
    <w:p w:rsidR="00FB606A" w:rsidRPr="00C1680D" w:rsidRDefault="009D752F" w:rsidP="00C1680D">
      <w:pPr>
        <w:pStyle w:val="ListParagraph"/>
        <w:numPr>
          <w:ilvl w:val="0"/>
          <w:numId w:val="2"/>
        </w:numPr>
        <w:spacing w:after="200" w:line="276" w:lineRule="auto"/>
        <w:ind w:left="0"/>
        <w:contextualSpacing/>
        <w:jc w:val="both"/>
        <w:rPr>
          <w:rFonts w:cs="Times New Roman"/>
        </w:rPr>
      </w:pPr>
      <w:r w:rsidRPr="00C1680D">
        <w:rPr>
          <w:rFonts w:cs="Times New Roman"/>
        </w:rPr>
        <w:tab/>
      </w:r>
      <w:r w:rsidR="00FB606A" w:rsidRPr="00C1680D">
        <w:rPr>
          <w:rFonts w:cs="Times New Roman"/>
          <w:b/>
        </w:rPr>
        <w:t>Neelam Bhashakar, Meeta Pathak</w:t>
      </w:r>
      <w:r w:rsidR="00FB606A" w:rsidRPr="00C1680D">
        <w:rPr>
          <w:rFonts w:cs="Times New Roman"/>
        </w:rPr>
        <w:t xml:space="preserve"> Critical analysis of head and neck swelling with respect to cytomorphological  diagnosis a retrospective study Archives of Cytology &amp; Histopathology Research 2020 Volume-5 Issue (1),: 58-62.</w:t>
      </w:r>
    </w:p>
    <w:p w:rsidR="00FB606A" w:rsidRPr="00C1680D" w:rsidRDefault="00FB606A" w:rsidP="00C1680D">
      <w:pPr>
        <w:pStyle w:val="ListParagraph"/>
        <w:numPr>
          <w:ilvl w:val="0"/>
          <w:numId w:val="2"/>
        </w:numPr>
        <w:spacing w:after="200" w:line="276" w:lineRule="auto"/>
        <w:ind w:left="0"/>
        <w:contextualSpacing/>
        <w:jc w:val="both"/>
        <w:rPr>
          <w:rFonts w:cs="Times New Roman"/>
        </w:rPr>
      </w:pPr>
      <w:r w:rsidRPr="00C1680D">
        <w:rPr>
          <w:rFonts w:cs="Times New Roman"/>
          <w:b/>
        </w:rPr>
        <w:t>Bharti Parashar</w:t>
      </w:r>
      <w:r w:rsidRPr="00C1680D">
        <w:rPr>
          <w:rFonts w:cs="Times New Roman"/>
        </w:rPr>
        <w:t xml:space="preserve"> an evalution of the morphological spectrum and clinicopathological observation of renal biopsy specimens in various renal diseases. Journal of Critical Reviews 2020; 7 (16):3111-3118.</w:t>
      </w:r>
    </w:p>
    <w:p w:rsidR="00FB606A" w:rsidRPr="00C1680D" w:rsidRDefault="00FB606A" w:rsidP="00C1680D">
      <w:pPr>
        <w:pStyle w:val="ListParagraph"/>
        <w:numPr>
          <w:ilvl w:val="0"/>
          <w:numId w:val="2"/>
        </w:numPr>
        <w:spacing w:after="200" w:line="276" w:lineRule="auto"/>
        <w:ind w:left="0"/>
        <w:contextualSpacing/>
        <w:jc w:val="both"/>
        <w:rPr>
          <w:rFonts w:cs="Times New Roman"/>
        </w:rPr>
      </w:pPr>
      <w:r w:rsidRPr="00C1680D">
        <w:rPr>
          <w:rFonts w:cs="Times New Roman"/>
          <w:b/>
        </w:rPr>
        <w:t>Surjeet singh, Stuti Kumari, Abhijeet Sachan, Shashi Kant Jain.</w:t>
      </w:r>
      <w:r w:rsidRPr="00C1680D">
        <w:rPr>
          <w:rFonts w:cs="Times New Roman"/>
        </w:rPr>
        <w:t>Preperativeevalution of superficial cortical venous drainage. Romanian Neurosurgery 2020; XXXIV (2): 280-287.</w:t>
      </w:r>
    </w:p>
    <w:p w:rsidR="00FB606A" w:rsidRPr="00C1680D" w:rsidRDefault="00FB606A" w:rsidP="00C1680D">
      <w:pPr>
        <w:pStyle w:val="ListParagraph"/>
        <w:numPr>
          <w:ilvl w:val="0"/>
          <w:numId w:val="2"/>
        </w:numPr>
        <w:spacing w:after="200" w:line="276" w:lineRule="auto"/>
        <w:ind w:left="0"/>
        <w:contextualSpacing/>
        <w:jc w:val="both"/>
        <w:rPr>
          <w:rFonts w:cs="Times New Roman"/>
        </w:rPr>
      </w:pPr>
      <w:r w:rsidRPr="00C1680D">
        <w:rPr>
          <w:rFonts w:cs="Times New Roman"/>
          <w:b/>
        </w:rPr>
        <w:t>Bharti Parashar , Meeta Pathak</w:t>
      </w:r>
      <w:r w:rsidRPr="00C1680D">
        <w:rPr>
          <w:rFonts w:cs="Times New Roman"/>
        </w:rPr>
        <w:t xml:space="preserve"> Laboratory analysis of patients with SARS-COV-19 infection  in semi-urban Covid-19 Center of Lucknow, India  International Journal of health Sciences 2021 Volume-5 Issue (2),: 431-443.</w:t>
      </w:r>
    </w:p>
    <w:p w:rsidR="006E0CD5" w:rsidRPr="00C1680D" w:rsidRDefault="004375AF" w:rsidP="00C1680D">
      <w:pPr>
        <w:tabs>
          <w:tab w:val="left" w:pos="4050"/>
        </w:tabs>
        <w:jc w:val="center"/>
        <w:rPr>
          <w:rFonts w:ascii="Times New Roman" w:hAnsi="Times New Roman" w:cs="Times New Roman"/>
          <w:b/>
          <w:bCs/>
          <w:sz w:val="24"/>
          <w:szCs w:val="24"/>
        </w:rPr>
      </w:pPr>
      <w:r w:rsidRPr="00C1680D">
        <w:rPr>
          <w:rFonts w:ascii="Times New Roman" w:hAnsi="Times New Roman" w:cs="Times New Roman"/>
          <w:b/>
          <w:bCs/>
          <w:sz w:val="24"/>
          <w:szCs w:val="24"/>
        </w:rPr>
        <w:t>COMMUNITY MEDICINE</w:t>
      </w:r>
    </w:p>
    <w:p w:rsidR="004375AF" w:rsidRPr="00C1680D" w:rsidRDefault="004375AF" w:rsidP="00C1680D">
      <w:pPr>
        <w:pStyle w:val="NoSpacing"/>
        <w:spacing w:line="276" w:lineRule="auto"/>
        <w:jc w:val="both"/>
        <w:rPr>
          <w:rFonts w:cs="Times New Roman"/>
          <w:bCs/>
        </w:rPr>
      </w:pPr>
      <w:r w:rsidRPr="00C1680D">
        <w:rPr>
          <w:rFonts w:cs="Times New Roman"/>
          <w:bCs/>
        </w:rPr>
        <w:t>Assessment of right plantar dermatoglyphic configurations in study population,  International journal JournalofLife Sciences Biotechnology and PharnaRescarch Vol. 13, No. 7, July 2024.</w:t>
      </w:r>
    </w:p>
    <w:p w:rsidR="004375AF" w:rsidRPr="00C1680D" w:rsidRDefault="004375AF" w:rsidP="00C1680D">
      <w:pPr>
        <w:jc w:val="both"/>
        <w:rPr>
          <w:rFonts w:ascii="Times New Roman" w:hAnsi="Times New Roman" w:cs="Times New Roman"/>
          <w:bCs/>
          <w:color w:val="000000"/>
          <w:sz w:val="24"/>
          <w:szCs w:val="24"/>
        </w:rPr>
      </w:pPr>
      <w:r w:rsidRPr="00C1680D">
        <w:rPr>
          <w:rFonts w:ascii="Times New Roman" w:hAnsi="Times New Roman" w:cs="Times New Roman"/>
          <w:bCs/>
          <w:color w:val="000000"/>
          <w:sz w:val="24"/>
          <w:szCs w:val="24"/>
        </w:rPr>
        <w:t>A study of health care seeking behavior of elderly in the rural of eastern Uttar Pradesh, International Journal of Healih and Clinical Research, 2021;4(18):269-271.</w:t>
      </w:r>
    </w:p>
    <w:p w:rsidR="004375AF" w:rsidRPr="00C1680D" w:rsidRDefault="004375AF" w:rsidP="00C1680D">
      <w:pPr>
        <w:tabs>
          <w:tab w:val="left" w:pos="4050"/>
        </w:tabs>
        <w:jc w:val="center"/>
        <w:rPr>
          <w:rFonts w:ascii="Times New Roman" w:hAnsi="Times New Roman" w:cs="Times New Roman"/>
          <w:bCs/>
          <w:sz w:val="24"/>
          <w:szCs w:val="24"/>
        </w:rPr>
      </w:pPr>
      <w:r w:rsidRPr="00C1680D">
        <w:rPr>
          <w:rFonts w:ascii="Times New Roman" w:hAnsi="Times New Roman" w:cs="Times New Roman"/>
          <w:bCs/>
          <w:sz w:val="24"/>
          <w:szCs w:val="24"/>
        </w:rPr>
        <w:t>Verma V, Shiv P, Khurshid P, Shaikh S. A Comparative Study of Health Seeking Behaviour of Elderly in Rural and Urban Area of Prayagraj.National Journal of Community Medicine│Volume 12│Issue 08│August 2021| Page No. 246-251</w:t>
      </w:r>
    </w:p>
    <w:p w:rsidR="004375AF" w:rsidRPr="00C1680D" w:rsidRDefault="004375AF" w:rsidP="00C1680D">
      <w:pPr>
        <w:tabs>
          <w:tab w:val="left" w:pos="4050"/>
        </w:tabs>
        <w:jc w:val="center"/>
        <w:rPr>
          <w:rFonts w:ascii="Times New Roman" w:hAnsi="Times New Roman" w:cs="Times New Roman"/>
          <w:bCs/>
          <w:sz w:val="24"/>
          <w:szCs w:val="24"/>
        </w:rPr>
      </w:pPr>
      <w:r w:rsidRPr="00C1680D">
        <w:rPr>
          <w:rFonts w:ascii="Times New Roman" w:hAnsi="Times New Roman" w:cs="Times New Roman"/>
          <w:bCs/>
          <w:sz w:val="24"/>
          <w:szCs w:val="24"/>
        </w:rPr>
        <w:t>Exploring impact of Smart phones usage on interpersonal relationship of school going children of Lucknow, Uttar Pradesh – 2021</w:t>
      </w:r>
    </w:p>
    <w:p w:rsidR="004375AF" w:rsidRPr="00C1680D" w:rsidRDefault="004375AF" w:rsidP="00C1680D">
      <w:pPr>
        <w:tabs>
          <w:tab w:val="left" w:pos="4050"/>
        </w:tabs>
        <w:jc w:val="center"/>
        <w:rPr>
          <w:rFonts w:ascii="Times New Roman" w:hAnsi="Times New Roman" w:cs="Times New Roman"/>
          <w:bCs/>
          <w:sz w:val="24"/>
          <w:szCs w:val="24"/>
        </w:rPr>
      </w:pPr>
    </w:p>
    <w:p w:rsidR="004375AF" w:rsidRPr="00C1680D" w:rsidRDefault="004375AF" w:rsidP="00C1680D">
      <w:pPr>
        <w:tabs>
          <w:tab w:val="left" w:pos="4050"/>
        </w:tabs>
        <w:jc w:val="center"/>
        <w:rPr>
          <w:rFonts w:ascii="Times New Roman" w:hAnsi="Times New Roman" w:cs="Times New Roman"/>
          <w:bCs/>
          <w:sz w:val="24"/>
          <w:szCs w:val="24"/>
        </w:rPr>
      </w:pPr>
    </w:p>
    <w:p w:rsidR="004375AF" w:rsidRPr="00C1680D" w:rsidRDefault="004375AF" w:rsidP="00C1680D">
      <w:pPr>
        <w:tabs>
          <w:tab w:val="left" w:pos="4050"/>
        </w:tabs>
        <w:jc w:val="center"/>
        <w:rPr>
          <w:rFonts w:ascii="Times New Roman" w:hAnsi="Times New Roman" w:cs="Times New Roman"/>
          <w:bCs/>
          <w:sz w:val="24"/>
          <w:szCs w:val="24"/>
        </w:rPr>
      </w:pPr>
    </w:p>
    <w:p w:rsidR="004375AF" w:rsidRPr="00C1680D" w:rsidRDefault="004375AF" w:rsidP="00C1680D">
      <w:pPr>
        <w:tabs>
          <w:tab w:val="left" w:pos="4050"/>
        </w:tabs>
        <w:jc w:val="center"/>
        <w:rPr>
          <w:rFonts w:ascii="Times New Roman" w:hAnsi="Times New Roman" w:cs="Times New Roman"/>
          <w:bCs/>
          <w:sz w:val="24"/>
          <w:szCs w:val="24"/>
        </w:rPr>
      </w:pPr>
    </w:p>
    <w:p w:rsidR="004375AF" w:rsidRPr="00C1680D" w:rsidRDefault="004375AF" w:rsidP="00C1680D">
      <w:pPr>
        <w:tabs>
          <w:tab w:val="left" w:pos="4050"/>
        </w:tabs>
        <w:jc w:val="center"/>
        <w:rPr>
          <w:rFonts w:ascii="Times New Roman" w:hAnsi="Times New Roman" w:cs="Times New Roman"/>
          <w:bCs/>
          <w:sz w:val="24"/>
          <w:szCs w:val="24"/>
        </w:rPr>
      </w:pPr>
    </w:p>
    <w:p w:rsidR="004375AF" w:rsidRPr="00C1680D" w:rsidRDefault="004375AF" w:rsidP="00C1680D">
      <w:pPr>
        <w:tabs>
          <w:tab w:val="left" w:pos="4050"/>
        </w:tabs>
        <w:jc w:val="center"/>
        <w:rPr>
          <w:rFonts w:ascii="Times New Roman" w:hAnsi="Times New Roman" w:cs="Times New Roman"/>
          <w:bCs/>
          <w:sz w:val="24"/>
          <w:szCs w:val="24"/>
        </w:rPr>
      </w:pPr>
    </w:p>
    <w:p w:rsidR="004375AF" w:rsidRPr="00C1680D" w:rsidRDefault="004375AF" w:rsidP="00C1680D">
      <w:pPr>
        <w:tabs>
          <w:tab w:val="left" w:pos="4050"/>
        </w:tabs>
        <w:jc w:val="center"/>
        <w:rPr>
          <w:rFonts w:ascii="Times New Roman" w:hAnsi="Times New Roman" w:cs="Times New Roman"/>
          <w:b/>
          <w:sz w:val="24"/>
          <w:szCs w:val="24"/>
        </w:rPr>
      </w:pPr>
      <w:r w:rsidRPr="00C1680D">
        <w:rPr>
          <w:rFonts w:ascii="Times New Roman" w:hAnsi="Times New Roman" w:cs="Times New Roman"/>
          <w:b/>
          <w:sz w:val="24"/>
          <w:szCs w:val="24"/>
        </w:rPr>
        <w:t>GENERAL MEDICINE</w:t>
      </w:r>
    </w:p>
    <w:p w:rsidR="004375AF" w:rsidRPr="00C1680D" w:rsidRDefault="004375AF" w:rsidP="00C1680D">
      <w:pPr>
        <w:spacing w:after="0"/>
        <w:rPr>
          <w:rFonts w:ascii="Times New Roman" w:eastAsia="Times New Roman" w:hAnsi="Times New Roman" w:cs="Times New Roman"/>
          <w:sz w:val="24"/>
          <w:szCs w:val="24"/>
          <w:lang w:bidi="ar-SA"/>
        </w:rPr>
      </w:pPr>
      <w:r w:rsidRPr="00C1680D">
        <w:rPr>
          <w:rFonts w:ascii="Times New Roman" w:hAnsi="Times New Roman" w:cs="Times New Roman"/>
          <w:sz w:val="24"/>
          <w:szCs w:val="24"/>
        </w:rPr>
        <w:t>ABDUL A.M., KHAN S. A. , A study of clinical and laboratory profile of patients having Fever with the Thrombocytopenia in tertiary care hospital Journal of advanced medical dental seminar research Vol-8 issue – 3,   March 2020</w:t>
      </w:r>
    </w:p>
    <w:p w:rsidR="004375AF" w:rsidRPr="00C1680D" w:rsidRDefault="004375AF" w:rsidP="00C1680D">
      <w:pPr>
        <w:spacing w:after="0"/>
        <w:rPr>
          <w:rFonts w:ascii="Times New Roman" w:hAnsi="Times New Roman" w:cs="Times New Roman"/>
          <w:sz w:val="24"/>
          <w:szCs w:val="24"/>
        </w:rPr>
      </w:pPr>
    </w:p>
    <w:p w:rsidR="004375AF" w:rsidRPr="00C1680D" w:rsidRDefault="004375AF" w:rsidP="00C1680D">
      <w:pPr>
        <w:spacing w:after="0"/>
        <w:rPr>
          <w:rFonts w:ascii="Times New Roman" w:hAnsi="Times New Roman" w:cs="Times New Roman"/>
          <w:sz w:val="24"/>
          <w:szCs w:val="24"/>
        </w:rPr>
      </w:pPr>
      <w:r w:rsidRPr="00C1680D">
        <w:rPr>
          <w:rFonts w:ascii="Times New Roman" w:hAnsi="Times New Roman" w:cs="Times New Roman"/>
          <w:sz w:val="24"/>
          <w:szCs w:val="24"/>
        </w:rPr>
        <w:t>M. Yaseen, PANDEY M.P., Assessment of serum level    of CRP as an indicator of direct getivity in pulmonary tuber clusis International Journal of health &amp; clinical research Vol- 24c16 AUG 2021</w:t>
      </w:r>
    </w:p>
    <w:p w:rsidR="004375AF" w:rsidRPr="00C1680D" w:rsidRDefault="004375AF" w:rsidP="00C1680D">
      <w:pPr>
        <w:spacing w:after="0"/>
        <w:rPr>
          <w:rFonts w:ascii="Times New Roman" w:hAnsi="Times New Roman" w:cs="Times New Roman"/>
          <w:sz w:val="24"/>
          <w:szCs w:val="24"/>
        </w:rPr>
      </w:pPr>
    </w:p>
    <w:p w:rsidR="004375AF" w:rsidRPr="00C1680D" w:rsidRDefault="004375AF" w:rsidP="00C1680D">
      <w:pPr>
        <w:spacing w:after="0"/>
        <w:rPr>
          <w:rFonts w:ascii="Times New Roman" w:hAnsi="Times New Roman" w:cs="Times New Roman"/>
          <w:sz w:val="24"/>
          <w:szCs w:val="24"/>
        </w:rPr>
      </w:pPr>
      <w:r w:rsidRPr="00C1680D">
        <w:rPr>
          <w:rFonts w:ascii="Times New Roman" w:hAnsi="Times New Roman" w:cs="Times New Roman"/>
          <w:sz w:val="24"/>
          <w:szCs w:val="24"/>
        </w:rPr>
        <w:t>PANDEY M.P. , Evalution of relation between thyroid dysfunction and diabetes 2/8/21 . International Journal of health &amp; clinical research. E- ISSN-2519-3241P- ISSN -2590-2021,4 (16)19-2325Y</w:t>
      </w:r>
    </w:p>
    <w:p w:rsidR="00E312F9" w:rsidRPr="00C1680D" w:rsidRDefault="00E312F9" w:rsidP="00C1680D">
      <w:pPr>
        <w:spacing w:after="0"/>
        <w:rPr>
          <w:rFonts w:ascii="Times New Roman" w:hAnsi="Times New Roman" w:cs="Times New Roman"/>
          <w:sz w:val="24"/>
          <w:szCs w:val="24"/>
        </w:rPr>
      </w:pPr>
    </w:p>
    <w:p w:rsidR="00E312F9" w:rsidRPr="00C1680D" w:rsidRDefault="00E312F9" w:rsidP="00C1680D">
      <w:pPr>
        <w:tabs>
          <w:tab w:val="left" w:pos="4050"/>
        </w:tabs>
        <w:jc w:val="center"/>
        <w:rPr>
          <w:rFonts w:ascii="Times New Roman" w:hAnsi="Times New Roman" w:cs="Times New Roman"/>
          <w:b/>
          <w:sz w:val="24"/>
          <w:szCs w:val="24"/>
        </w:rPr>
      </w:pPr>
      <w:r w:rsidRPr="00C1680D">
        <w:rPr>
          <w:rFonts w:ascii="Times New Roman" w:hAnsi="Times New Roman" w:cs="Times New Roman"/>
          <w:b/>
          <w:sz w:val="24"/>
          <w:szCs w:val="24"/>
        </w:rPr>
        <w:t>PSYCHIATRY</w:t>
      </w:r>
    </w:p>
    <w:p w:rsidR="00E312F9" w:rsidRPr="00C1680D" w:rsidRDefault="00E312F9" w:rsidP="00C1680D">
      <w:pPr>
        <w:tabs>
          <w:tab w:val="left" w:pos="4050"/>
        </w:tabs>
        <w:jc w:val="center"/>
        <w:rPr>
          <w:rFonts w:ascii="Times New Roman" w:hAnsi="Times New Roman" w:cs="Times New Roman"/>
          <w:sz w:val="24"/>
          <w:szCs w:val="24"/>
        </w:rPr>
      </w:pPr>
      <w:r w:rsidRPr="00C1680D">
        <w:rPr>
          <w:rFonts w:ascii="Times New Roman" w:hAnsi="Times New Roman" w:cs="Times New Roman"/>
          <w:sz w:val="24"/>
          <w:szCs w:val="24"/>
        </w:rPr>
        <w:t>Attitude Towards Psychiatry Among Non-Psychiatric PostgradutionIn A Treatment Care Teaching Hospitalvol-10issue8aug2021</w:t>
      </w:r>
    </w:p>
    <w:p w:rsidR="00E312F9" w:rsidRPr="00C1680D" w:rsidRDefault="00E312F9" w:rsidP="00C1680D">
      <w:pPr>
        <w:tabs>
          <w:tab w:val="left" w:pos="4050"/>
        </w:tabs>
        <w:jc w:val="center"/>
        <w:rPr>
          <w:rFonts w:ascii="Times New Roman" w:hAnsi="Times New Roman" w:cs="Times New Roman"/>
          <w:b/>
          <w:bCs/>
          <w:sz w:val="24"/>
          <w:szCs w:val="24"/>
        </w:rPr>
      </w:pPr>
      <w:r w:rsidRPr="00C1680D">
        <w:rPr>
          <w:rFonts w:ascii="Times New Roman" w:hAnsi="Times New Roman" w:cs="Times New Roman"/>
          <w:b/>
          <w:bCs/>
          <w:sz w:val="24"/>
          <w:szCs w:val="24"/>
        </w:rPr>
        <w:t>GENERAL SURGERY</w:t>
      </w:r>
    </w:p>
    <w:tbl>
      <w:tblPr>
        <w:tblW w:w="101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0"/>
      </w:tblGrid>
      <w:tr w:rsidR="00E312F9" w:rsidRPr="00C1680D" w:rsidTr="003D51C6">
        <w:trPr>
          <w:trHeight w:val="2394"/>
        </w:trPr>
        <w:tc>
          <w:tcPr>
            <w:tcW w:w="10170" w:type="dxa"/>
            <w:tcBorders>
              <w:top w:val="single" w:sz="4" w:space="0" w:color="auto"/>
              <w:left w:val="single" w:sz="4" w:space="0" w:color="auto"/>
              <w:bottom w:val="single" w:sz="4" w:space="0" w:color="auto"/>
              <w:right w:val="single" w:sz="4" w:space="0" w:color="auto"/>
            </w:tcBorders>
          </w:tcPr>
          <w:p w:rsidR="00E312F9" w:rsidRPr="00C1680D" w:rsidRDefault="00C1680D" w:rsidP="00C1680D">
            <w:pPr>
              <w:tabs>
                <w:tab w:val="left" w:pos="1114"/>
              </w:tabs>
              <w:rPr>
                <w:rFonts w:ascii="Times New Roman" w:hAnsi="Times New Roman" w:cs="Times New Roman"/>
                <w:color w:val="000000"/>
                <w:sz w:val="24"/>
                <w:szCs w:val="24"/>
              </w:rPr>
            </w:pPr>
            <w:r w:rsidRPr="00C1680D">
              <w:rPr>
                <w:rFonts w:ascii="Times New Roman" w:hAnsi="Times New Roman" w:cs="Times New Roman"/>
                <w:color w:val="000000"/>
                <w:sz w:val="24"/>
                <w:szCs w:val="24"/>
              </w:rPr>
              <w:t xml:space="preserve">      </w:t>
            </w:r>
            <w:r w:rsidR="00E312F9" w:rsidRPr="00C1680D">
              <w:rPr>
                <w:rFonts w:ascii="Times New Roman" w:hAnsi="Times New Roman" w:cs="Times New Roman"/>
                <w:color w:val="000000"/>
                <w:sz w:val="24"/>
                <w:szCs w:val="24"/>
              </w:rPr>
              <w:t xml:space="preserve">1. Anuj Kumar Tripath*, Vishal Singh. Posterior Fossa Extradural Haematomas                    </w:t>
            </w:r>
            <w:r w:rsidRPr="00C1680D">
              <w:rPr>
                <w:rFonts w:ascii="Times New Roman" w:hAnsi="Times New Roman" w:cs="Times New Roman"/>
                <w:color w:val="000000"/>
                <w:sz w:val="24"/>
                <w:szCs w:val="24"/>
              </w:rPr>
              <w:t xml:space="preserve">        </w:t>
            </w:r>
            <w:r w:rsidR="00E312F9" w:rsidRPr="00C1680D">
              <w:rPr>
                <w:rFonts w:ascii="Times New Roman" w:hAnsi="Times New Roman" w:cs="Times New Roman"/>
                <w:color w:val="000000"/>
                <w:sz w:val="24"/>
                <w:szCs w:val="24"/>
              </w:rPr>
              <w:t>(PFEDH) at apex trauma center: A retrospective study. International Journal of Science and Research (IJSR), 2020; 6 (1): 25-26</w:t>
            </w:r>
          </w:p>
          <w:p w:rsidR="00E312F9" w:rsidRPr="00C1680D" w:rsidRDefault="00E312F9" w:rsidP="00C1680D">
            <w:pPr>
              <w:pStyle w:val="journaltitlearticledetails"/>
              <w:spacing w:before="84" w:beforeAutospacing="0" w:after="0" w:afterAutospacing="0"/>
              <w:rPr>
                <w:rFonts w:eastAsiaTheme="majorEastAsia"/>
                <w:color w:val="000000"/>
              </w:rPr>
            </w:pPr>
            <w:r w:rsidRPr="00C1680D">
              <w:rPr>
                <w:rFonts w:eastAsiaTheme="majorEastAsia"/>
                <w:color w:val="000000"/>
              </w:rPr>
              <w:t>2.Anuj Kumar Tripathi*, Raj Awasthi. Outcome of head injury patients admitted as unknown: A retrospective study. Indian Journal of Anatomy and Surgery of Head, Neck and Brain, 2020; 6 (1): 14-15</w:t>
            </w:r>
          </w:p>
          <w:p w:rsidR="00E312F9" w:rsidRPr="00C1680D" w:rsidRDefault="00E312F9" w:rsidP="00C1680D">
            <w:pPr>
              <w:pStyle w:val="journaltitlearticledetails"/>
              <w:spacing w:before="84" w:beforeAutospacing="0" w:after="0" w:afterAutospacing="0"/>
              <w:rPr>
                <w:rFonts w:eastAsiaTheme="majorEastAsia"/>
                <w:color w:val="000000"/>
              </w:rPr>
            </w:pPr>
            <w:r w:rsidRPr="00C1680D">
              <w:rPr>
                <w:rFonts w:eastAsiaTheme="majorEastAsia"/>
                <w:color w:val="000000"/>
              </w:rPr>
              <w:t>3.Anuj Kumar Tripathi, Raj Awasthi*. Bedsore pain. Indian Journal of Anatomy and Surgery of Head, Neck and Brain, 2020; 6 (1): 23-24</w:t>
            </w:r>
          </w:p>
          <w:p w:rsidR="00E312F9" w:rsidRPr="00C1680D" w:rsidRDefault="00E312F9" w:rsidP="00C1680D">
            <w:pPr>
              <w:pStyle w:val="journaltitlearticledetails"/>
              <w:spacing w:before="84" w:beforeAutospacing="0" w:after="0" w:afterAutospacing="0"/>
              <w:rPr>
                <w:rFonts w:eastAsiaTheme="majorEastAsia"/>
                <w:color w:val="000000"/>
              </w:rPr>
            </w:pPr>
            <w:r w:rsidRPr="00C1680D">
              <w:rPr>
                <w:rFonts w:eastAsiaTheme="majorEastAsia"/>
                <w:color w:val="000000"/>
              </w:rPr>
              <w:t>4.Anuj Kumar Tripathi*, Vishal Singh. Pineal region tumors: A retrospective analysis.  International Journal of Science and Research (IJSR), 2020; 6 (1): 16-22</w:t>
            </w:r>
          </w:p>
          <w:p w:rsidR="00E312F9" w:rsidRPr="00C1680D" w:rsidRDefault="00E312F9" w:rsidP="00C1680D">
            <w:pPr>
              <w:pStyle w:val="journaltitlearticledetails"/>
              <w:spacing w:before="84" w:beforeAutospacing="0" w:after="0" w:afterAutospacing="0"/>
              <w:jc w:val="both"/>
              <w:rPr>
                <w:rFonts w:eastAsiaTheme="majorEastAsia"/>
                <w:color w:val="000000"/>
                <w:lang w:bidi="ar-SA"/>
              </w:rPr>
            </w:pPr>
          </w:p>
        </w:tc>
      </w:tr>
      <w:tr w:rsidR="00E312F9" w:rsidRPr="00C1680D" w:rsidTr="003D51C6">
        <w:trPr>
          <w:trHeight w:val="1680"/>
        </w:trPr>
        <w:tc>
          <w:tcPr>
            <w:tcW w:w="10170" w:type="dxa"/>
            <w:tcBorders>
              <w:top w:val="single" w:sz="4" w:space="0" w:color="auto"/>
              <w:left w:val="single" w:sz="4" w:space="0" w:color="auto"/>
              <w:bottom w:val="single" w:sz="4" w:space="0" w:color="auto"/>
              <w:right w:val="single" w:sz="4" w:space="0" w:color="auto"/>
            </w:tcBorders>
          </w:tcPr>
          <w:p w:rsidR="00E312F9" w:rsidRPr="00C1680D" w:rsidRDefault="00E312F9" w:rsidP="00C1680D">
            <w:pPr>
              <w:pStyle w:val="Heading1"/>
              <w:spacing w:before="0"/>
              <w:rPr>
                <w:rFonts w:ascii="Times New Roman" w:hAnsi="Times New Roman"/>
                <w:b/>
                <w:bCs/>
                <w:color w:val="auto"/>
                <w:sz w:val="24"/>
                <w:szCs w:val="24"/>
              </w:rPr>
            </w:pPr>
            <w:r w:rsidRPr="00C1680D">
              <w:rPr>
                <w:rFonts w:ascii="Times New Roman" w:hAnsi="Times New Roman"/>
                <w:color w:val="auto"/>
                <w:sz w:val="24"/>
                <w:szCs w:val="24"/>
              </w:rPr>
              <w:lastRenderedPageBreak/>
              <w:t>5.Shivesh Kumar, Saurabh Pathak, Rajesh Kunwer, Om Prakash Gupta,</w:t>
            </w:r>
          </w:p>
          <w:p w:rsidR="00E312F9" w:rsidRPr="00C1680D" w:rsidRDefault="00E312F9" w:rsidP="00C1680D">
            <w:pPr>
              <w:rPr>
                <w:rFonts w:ascii="Times New Roman" w:hAnsi="Times New Roman" w:cs="Times New Roman"/>
                <w:sz w:val="24"/>
                <w:szCs w:val="24"/>
              </w:rPr>
            </w:pPr>
            <w:r w:rsidRPr="00C1680D">
              <w:rPr>
                <w:rFonts w:ascii="Times New Roman" w:hAnsi="Times New Roman" w:cs="Times New Roman"/>
                <w:b/>
                <w:bCs/>
                <w:sz w:val="24"/>
                <w:szCs w:val="24"/>
              </w:rPr>
              <w:t> </w:t>
            </w:r>
            <w:r w:rsidRPr="00C1680D">
              <w:rPr>
                <w:rFonts w:ascii="Times New Roman" w:hAnsi="Times New Roman" w:cs="Times New Roman"/>
                <w:bCs/>
                <w:sz w:val="24"/>
                <w:szCs w:val="24"/>
              </w:rPr>
              <w:t>Vikas Verma*,  Anuj Kumar Tripathi .Emergency open tracheostomy and emergency percutaneous tracheostomy: A comperative study</w:t>
            </w:r>
            <w:r w:rsidRPr="00C1680D">
              <w:rPr>
                <w:rFonts w:ascii="Times New Roman" w:hAnsi="Times New Roman" w:cs="Times New Roman"/>
                <w:b/>
                <w:bCs/>
                <w:sz w:val="24"/>
                <w:szCs w:val="24"/>
              </w:rPr>
              <w:t xml:space="preserve">. </w:t>
            </w:r>
            <w:r w:rsidRPr="00C1680D">
              <w:rPr>
                <w:rFonts w:ascii="Times New Roman" w:hAnsi="Times New Roman" w:cs="Times New Roman"/>
                <w:sz w:val="24"/>
                <w:szCs w:val="24"/>
              </w:rPr>
              <w:t>Indian Journal of Anatomy and Surgery of Head, Neck and Brain, 2021; 7(2): 59-60</w:t>
            </w:r>
          </w:p>
          <w:p w:rsidR="00E312F9" w:rsidRPr="00C1680D" w:rsidRDefault="00E312F9" w:rsidP="00C1680D">
            <w:pPr>
              <w:pStyle w:val="journaltitlearticledetails"/>
              <w:spacing w:before="84" w:after="0"/>
            </w:pPr>
            <w:r w:rsidRPr="00C1680D">
              <w:rPr>
                <w:lang w:bidi="ar-SA"/>
              </w:rPr>
              <w:t xml:space="preserve">6.Shivesh Kumar, Saurabh Pathak, Rajesh Kunwer, Om Prakash Gupta,       Vikas Verma*, Anuj Kumar Tripathi </w:t>
            </w:r>
            <w:r w:rsidRPr="00C1680D">
              <w:t>Emergency open tracheostomy and emergency percutaneous tracheostomy: A comperative study. Indian Journal of Anatomy and Surgery of Head, Neck and Brain, 2021; 7 (2): 59-60</w:t>
            </w:r>
          </w:p>
          <w:p w:rsidR="00E312F9" w:rsidRPr="00C1680D" w:rsidRDefault="00E312F9" w:rsidP="00C1680D">
            <w:pPr>
              <w:pStyle w:val="journaltitlearticledetails"/>
              <w:spacing w:before="84" w:after="0"/>
              <w:rPr>
                <w:color w:val="000000"/>
              </w:rPr>
            </w:pPr>
          </w:p>
        </w:tc>
      </w:tr>
    </w:tbl>
    <w:p w:rsidR="00E312F9" w:rsidRPr="00C1680D" w:rsidRDefault="00E312F9" w:rsidP="00C1680D">
      <w:pPr>
        <w:pStyle w:val="journaltitlearticledetails"/>
        <w:spacing w:before="84" w:beforeAutospacing="0" w:after="0" w:afterAutospacing="0" w:line="276" w:lineRule="auto"/>
        <w:rPr>
          <w:rFonts w:eastAsiaTheme="minorEastAsia"/>
          <w:b/>
          <w:bCs/>
        </w:rPr>
      </w:pPr>
    </w:p>
    <w:p w:rsidR="00C1680D" w:rsidRPr="00C1680D" w:rsidRDefault="00C1680D" w:rsidP="00C1680D">
      <w:pPr>
        <w:pStyle w:val="journaltitlearticledetails"/>
        <w:spacing w:before="84" w:beforeAutospacing="0" w:after="0" w:afterAutospacing="0" w:line="276" w:lineRule="auto"/>
        <w:rPr>
          <w:rFonts w:eastAsiaTheme="majorEastAsia"/>
          <w:b/>
          <w:bCs/>
          <w:lang w:bidi="ar-SA"/>
        </w:rPr>
      </w:pPr>
    </w:p>
    <w:p w:rsidR="00E312F9" w:rsidRPr="00C1680D" w:rsidRDefault="00E312F9" w:rsidP="00C1680D">
      <w:pPr>
        <w:pStyle w:val="journaltitlearticledetails"/>
        <w:spacing w:before="84" w:beforeAutospacing="0" w:after="0" w:afterAutospacing="0" w:line="276" w:lineRule="auto"/>
        <w:jc w:val="center"/>
        <w:rPr>
          <w:rFonts w:eastAsiaTheme="majorEastAsia"/>
          <w:b/>
          <w:bCs/>
          <w:lang w:bidi="ar-SA"/>
        </w:rPr>
      </w:pPr>
      <w:r w:rsidRPr="00C1680D">
        <w:rPr>
          <w:rFonts w:eastAsiaTheme="majorEastAsia"/>
          <w:b/>
          <w:bCs/>
          <w:lang w:bidi="ar-SA"/>
        </w:rPr>
        <w:t>ANAESTHESIA</w:t>
      </w:r>
    </w:p>
    <w:p w:rsidR="00E312F9" w:rsidRPr="00C1680D" w:rsidRDefault="00E312F9" w:rsidP="00C1680D">
      <w:pPr>
        <w:pStyle w:val="journaltitlearticledetails"/>
        <w:numPr>
          <w:ilvl w:val="0"/>
          <w:numId w:val="3"/>
        </w:numPr>
        <w:spacing w:before="84" w:beforeAutospacing="0" w:after="0" w:afterAutospacing="0" w:line="276" w:lineRule="auto"/>
        <w:ind w:left="0"/>
        <w:rPr>
          <w:rFonts w:eastAsiaTheme="majorEastAsia"/>
          <w:lang w:bidi="ar-SA"/>
        </w:rPr>
      </w:pPr>
      <w:r w:rsidRPr="00C1680D">
        <w:rPr>
          <w:rFonts w:eastAsiaTheme="majorEastAsia"/>
          <w:lang w:bidi="ar-SA"/>
        </w:rPr>
        <w:t>Sher Singh Negi .Evalution of efficacy of epidural and wound infiltration analgesia for total abdominal hysterectomy: A comparative study.  International Journal of Medical Anesthesiology 2020; 3(2): 08-10.</w:t>
      </w:r>
    </w:p>
    <w:p w:rsidR="00E312F9" w:rsidRPr="00C1680D" w:rsidRDefault="00E312F9" w:rsidP="00C1680D">
      <w:pPr>
        <w:pStyle w:val="Heading1"/>
        <w:numPr>
          <w:ilvl w:val="0"/>
          <w:numId w:val="3"/>
        </w:numPr>
        <w:tabs>
          <w:tab w:val="num" w:pos="360"/>
        </w:tabs>
        <w:spacing w:before="84" w:line="276" w:lineRule="auto"/>
        <w:ind w:left="0" w:firstLine="0"/>
        <w:rPr>
          <w:rFonts w:ascii="Times New Roman" w:hAnsi="Times New Roman"/>
          <w:color w:val="auto"/>
          <w:sz w:val="24"/>
          <w:szCs w:val="24"/>
        </w:rPr>
      </w:pPr>
      <w:r w:rsidRPr="00C1680D">
        <w:rPr>
          <w:rFonts w:ascii="Times New Roman" w:hAnsi="Times New Roman"/>
          <w:color w:val="auto"/>
          <w:sz w:val="24"/>
          <w:szCs w:val="24"/>
        </w:rPr>
        <w:t xml:space="preserve">Harjai M, Alam S, Bhaskar P. Clinical Relevance of Mallampati Grading in Predicting Difficult Intubation in the Era of Various New Clinical Predictors. Cureus. 2021 Jul 14; 13(7):e16396. </w:t>
      </w:r>
    </w:p>
    <w:p w:rsidR="00E312F9" w:rsidRPr="00C1680D" w:rsidRDefault="00E312F9" w:rsidP="00C1680D">
      <w:pPr>
        <w:pStyle w:val="Heading1"/>
        <w:numPr>
          <w:ilvl w:val="0"/>
          <w:numId w:val="3"/>
        </w:numPr>
        <w:tabs>
          <w:tab w:val="num" w:pos="360"/>
        </w:tabs>
        <w:spacing w:before="84" w:line="276" w:lineRule="auto"/>
        <w:ind w:left="0" w:firstLine="0"/>
        <w:rPr>
          <w:rFonts w:ascii="Times New Roman" w:hAnsi="Times New Roman"/>
          <w:b/>
          <w:bCs/>
          <w:color w:val="auto"/>
          <w:sz w:val="24"/>
          <w:szCs w:val="24"/>
        </w:rPr>
      </w:pPr>
      <w:r w:rsidRPr="00C1680D">
        <w:rPr>
          <w:rFonts w:ascii="Times New Roman" w:hAnsi="Times New Roman"/>
          <w:color w:val="auto"/>
          <w:sz w:val="24"/>
          <w:szCs w:val="24"/>
        </w:rPr>
        <w:t xml:space="preserve">Shivesh Kumar, Saurabh Pathak, Rajesh Kunwer, Om  Prakash Gupta, Vikas Verma, Anuj Kumar Tripathi.Emergency open tracheostomy and emergency percutaneous tracheostomy: A comperativestudy. Indian Journal of Anatomy and Surgery of Head, Neck and Brain 2021; 7(2): 59-60 </w:t>
      </w:r>
    </w:p>
    <w:p w:rsidR="00E312F9" w:rsidRPr="00C1680D" w:rsidRDefault="00E312F9" w:rsidP="00C1680D">
      <w:pPr>
        <w:pStyle w:val="journaltitlearticledetails"/>
        <w:numPr>
          <w:ilvl w:val="0"/>
          <w:numId w:val="3"/>
        </w:numPr>
        <w:spacing w:before="84" w:beforeAutospacing="0" w:after="0" w:afterAutospacing="0" w:line="276" w:lineRule="auto"/>
        <w:ind w:left="0"/>
        <w:rPr>
          <w:lang w:bidi="ar-SA"/>
        </w:rPr>
      </w:pPr>
      <w:r w:rsidRPr="00C1680D">
        <w:rPr>
          <w:lang w:bidi="ar-SA"/>
        </w:rPr>
        <w:t xml:space="preserve">Amanjot Singh, Rajesh Kunwer, Gyanendra Prakash </w:t>
      </w:r>
      <w:r w:rsidRPr="00C1680D">
        <w:rPr>
          <w:rFonts w:eastAsiaTheme="majorEastAsia"/>
          <w:lang w:bidi="ar-SA"/>
        </w:rPr>
        <w:t>A ComprativeEvalution of Oral Pregabalin with Placebo in Atteneuationog Pressor Response During  Laryngoscopy and Intubation in Patients of General Surgical Procedures under General Anaesthesia.International Journal of Contemporary Medical Research 2021;</w:t>
      </w:r>
      <w:r w:rsidRPr="00C1680D">
        <w:rPr>
          <w:lang w:bidi="ar-SA"/>
        </w:rPr>
        <w:t> 8 (12): L1-L4</w:t>
      </w:r>
    </w:p>
    <w:p w:rsidR="00E312F9" w:rsidRPr="00C1680D" w:rsidRDefault="00E312F9" w:rsidP="00C1680D">
      <w:pPr>
        <w:tabs>
          <w:tab w:val="left" w:pos="4050"/>
        </w:tabs>
        <w:jc w:val="center"/>
        <w:rPr>
          <w:rFonts w:ascii="Times New Roman" w:hAnsi="Times New Roman" w:cs="Times New Roman"/>
          <w:b/>
          <w:bCs/>
          <w:sz w:val="24"/>
          <w:szCs w:val="24"/>
        </w:rPr>
      </w:pPr>
    </w:p>
    <w:p w:rsidR="00E312F9" w:rsidRPr="00C1680D" w:rsidRDefault="00E312F9" w:rsidP="00C1680D">
      <w:pPr>
        <w:tabs>
          <w:tab w:val="left" w:pos="4050"/>
        </w:tabs>
        <w:jc w:val="center"/>
        <w:rPr>
          <w:rFonts w:ascii="Times New Roman" w:hAnsi="Times New Roman" w:cs="Times New Roman"/>
          <w:b/>
          <w:bCs/>
          <w:sz w:val="24"/>
          <w:szCs w:val="24"/>
        </w:rPr>
      </w:pPr>
      <w:r w:rsidRPr="00C1680D">
        <w:rPr>
          <w:rFonts w:ascii="Times New Roman" w:hAnsi="Times New Roman" w:cs="Times New Roman"/>
          <w:b/>
          <w:bCs/>
          <w:sz w:val="24"/>
          <w:szCs w:val="24"/>
        </w:rPr>
        <w:t>ORTHOPADICS</w:t>
      </w:r>
    </w:p>
    <w:p w:rsidR="00C1680D" w:rsidRPr="00C1680D" w:rsidRDefault="00C1680D" w:rsidP="00C1680D">
      <w:pPr>
        <w:pStyle w:val="ListParagraph"/>
        <w:numPr>
          <w:ilvl w:val="0"/>
          <w:numId w:val="4"/>
        </w:numPr>
        <w:spacing w:after="200" w:line="276" w:lineRule="auto"/>
        <w:ind w:left="0"/>
        <w:contextualSpacing/>
        <w:rPr>
          <w:rFonts w:cs="Times New Roman"/>
        </w:rPr>
      </w:pPr>
      <w:r w:rsidRPr="00C1680D">
        <w:rPr>
          <w:rFonts w:cs="Times New Roman"/>
        </w:rPr>
        <w:t>Garg Uttam Kumar, Shukla S.K., Pathak S. K., Usmani I.A. Secondary internal osteosynthesis with locking plates for recent or old open fracture of the tibia, overlapping provisional external fixator pin sites: is the infection risk increased? IJSR-2020; 9(9): P-15-17.</w:t>
      </w:r>
    </w:p>
    <w:p w:rsidR="00C1680D" w:rsidRPr="00C1680D" w:rsidRDefault="00C1680D" w:rsidP="00C1680D">
      <w:pPr>
        <w:pStyle w:val="ListParagraph"/>
        <w:numPr>
          <w:ilvl w:val="0"/>
          <w:numId w:val="4"/>
        </w:numPr>
        <w:spacing w:after="200" w:line="276" w:lineRule="auto"/>
        <w:ind w:left="0" w:hanging="426"/>
        <w:contextualSpacing/>
        <w:rPr>
          <w:rFonts w:cs="Times New Roman"/>
        </w:rPr>
      </w:pPr>
      <w:r w:rsidRPr="00C1680D">
        <w:rPr>
          <w:rFonts w:cs="Times New Roman"/>
        </w:rPr>
        <w:t>Garg Uttam Kumar, Shukla S.K., Pathak S. K., Usmani I.A. Incidence of infection after early intramedullary nailing of open tibial shaft fractures stabilized with external fixators. GJRA-2020; 9(7):P-47-49.</w:t>
      </w:r>
    </w:p>
    <w:p w:rsidR="00C1680D" w:rsidRPr="00C1680D" w:rsidRDefault="00C1680D" w:rsidP="00C1680D">
      <w:pPr>
        <w:pStyle w:val="Heading1"/>
        <w:numPr>
          <w:ilvl w:val="0"/>
          <w:numId w:val="4"/>
        </w:numPr>
        <w:spacing w:before="167" w:after="167" w:line="276" w:lineRule="auto"/>
        <w:ind w:left="0" w:hanging="142"/>
        <w:rPr>
          <w:rFonts w:ascii="Times New Roman" w:hAnsi="Times New Roman"/>
          <w:color w:val="auto"/>
          <w:sz w:val="24"/>
          <w:szCs w:val="24"/>
        </w:rPr>
      </w:pPr>
      <w:r w:rsidRPr="00C1680D">
        <w:rPr>
          <w:rFonts w:ascii="Times New Roman" w:hAnsi="Times New Roman"/>
          <w:color w:val="auto"/>
          <w:sz w:val="24"/>
          <w:szCs w:val="24"/>
        </w:rPr>
        <w:lastRenderedPageBreak/>
        <w:t>Garg Uttam Kumar, Shukla S.K., Pathak S. K., Usmani I.A. Secondary internal osteosynthesis with locking plates for recent or old open fracture of the tibia, overlapping provisional external fixator pin sites: is the infection risk increased? IJSR-2020; 9(9): P-15-17.</w:t>
      </w:r>
    </w:p>
    <w:p w:rsidR="00E312F9" w:rsidRPr="00C1680D" w:rsidRDefault="00C1680D" w:rsidP="00C1680D">
      <w:pPr>
        <w:tabs>
          <w:tab w:val="left" w:pos="4050"/>
        </w:tabs>
        <w:jc w:val="center"/>
        <w:rPr>
          <w:rFonts w:ascii="Times New Roman" w:hAnsi="Times New Roman" w:cs="Times New Roman"/>
          <w:b/>
          <w:bCs/>
          <w:sz w:val="24"/>
          <w:szCs w:val="24"/>
        </w:rPr>
      </w:pPr>
      <w:r w:rsidRPr="00C1680D">
        <w:rPr>
          <w:rFonts w:ascii="Times New Roman" w:hAnsi="Times New Roman" w:cs="Times New Roman"/>
          <w:b/>
          <w:bCs/>
          <w:sz w:val="24"/>
          <w:szCs w:val="24"/>
        </w:rPr>
        <w:t>ENT</w:t>
      </w:r>
    </w:p>
    <w:p w:rsidR="00C1680D" w:rsidRPr="00C1680D" w:rsidRDefault="00C1680D" w:rsidP="00C1680D">
      <w:pPr>
        <w:pStyle w:val="NormalWeb"/>
        <w:shd w:val="clear" w:color="auto" w:fill="FFFFFF"/>
        <w:spacing w:before="0" w:beforeAutospacing="0" w:afterAutospacing="0" w:line="161" w:lineRule="atLeast"/>
      </w:pPr>
      <w:r w:rsidRPr="00C1680D">
        <w:rPr>
          <w:b/>
          <w:bCs/>
        </w:rPr>
        <w:t>1.</w:t>
      </w:r>
      <w:r w:rsidRPr="00C1680D">
        <w:t> Kumar S., Rana AK, Saleem Z. Comparative evaluation of efficacy of muscle relaxant, vasodilator and combined intralesional steroid with hyaluronidase use in oral submucous fibrosis. IP J Otolaryngol Allied Sci. 2021;42021;4(3):83–88) </w:t>
      </w:r>
      <w:r w:rsidRPr="00C1680D">
        <w:rPr>
          <w:b/>
          <w:bCs/>
        </w:rPr>
        <w:t>(Index Copernicus)</w:t>
      </w:r>
    </w:p>
    <w:p w:rsidR="00C1680D" w:rsidRPr="00C1680D" w:rsidRDefault="00C1680D" w:rsidP="00C1680D">
      <w:pPr>
        <w:pStyle w:val="NormalWeb"/>
        <w:shd w:val="clear" w:color="auto" w:fill="FFFFFF"/>
        <w:spacing w:before="0" w:beforeAutospacing="0" w:afterAutospacing="0" w:line="161" w:lineRule="atLeast"/>
      </w:pPr>
      <w:r w:rsidRPr="00C1680D">
        <w:rPr>
          <w:b/>
          <w:bCs/>
        </w:rPr>
        <w:t>2.</w:t>
      </w:r>
      <w:r w:rsidRPr="00C1680D">
        <w:t> Saleem Z, Rana AK, Kumar S. Safe otorhinolaryngological outpatient practices in Indian scenarios. IP J Otolaryngol Allied Sci. 2021;4(2): 46-49 </w:t>
      </w:r>
      <w:r w:rsidRPr="00C1680D">
        <w:rPr>
          <w:b/>
          <w:bCs/>
        </w:rPr>
        <w:t>(Index Copernicus)</w:t>
      </w:r>
    </w:p>
    <w:p w:rsidR="00C1680D" w:rsidRPr="00C1680D" w:rsidRDefault="00C1680D" w:rsidP="00C1680D">
      <w:pPr>
        <w:pStyle w:val="NormalWeb"/>
        <w:shd w:val="clear" w:color="auto" w:fill="FFFFFF"/>
        <w:spacing w:before="0" w:beforeAutospacing="0" w:afterAutospacing="0" w:line="161" w:lineRule="atLeast"/>
        <w:rPr>
          <w:b/>
          <w:bCs/>
        </w:rPr>
      </w:pPr>
      <w:r w:rsidRPr="00C1680D">
        <w:rPr>
          <w:b/>
          <w:bCs/>
        </w:rPr>
        <w:t>3.</w:t>
      </w:r>
      <w:r w:rsidRPr="00C1680D">
        <w:t> Rana AK, Kumar S, Kumar A, Khan MM, Parab SR, Upadhyay D. Comparative evaluation of hearing in cartilage Umbrella, Boomerang and TORP in chronic otitis media cases with absent stapes suprastructure: Our experience. Indian J Otolaryngol Head Neck Surg 2021. </w:t>
      </w:r>
      <w:hyperlink r:id="rId7" w:tgtFrame="_blank" w:history="1">
        <w:r w:rsidRPr="00C1680D">
          <w:rPr>
            <w:rStyle w:val="Hyperlink"/>
          </w:rPr>
          <w:t>https://doi.org/10.1007/s12070-021-02819-y</w:t>
        </w:r>
      </w:hyperlink>
      <w:r w:rsidRPr="00C1680D">
        <w:t> </w:t>
      </w:r>
      <w:r w:rsidRPr="00C1680D">
        <w:rPr>
          <w:b/>
          <w:bCs/>
        </w:rPr>
        <w:t>(Scopus/ Pubmed)</w:t>
      </w:r>
    </w:p>
    <w:p w:rsidR="00C1680D" w:rsidRPr="00C1680D" w:rsidRDefault="00C1680D" w:rsidP="00C1680D">
      <w:pPr>
        <w:tabs>
          <w:tab w:val="left" w:pos="4050"/>
        </w:tabs>
        <w:jc w:val="center"/>
        <w:rPr>
          <w:rFonts w:ascii="Times New Roman" w:hAnsi="Times New Roman" w:cs="Times New Roman"/>
          <w:b/>
          <w:bCs/>
          <w:sz w:val="24"/>
          <w:szCs w:val="24"/>
        </w:rPr>
      </w:pPr>
    </w:p>
    <w:p w:rsidR="00C1680D" w:rsidRPr="00C1680D" w:rsidRDefault="00C1680D" w:rsidP="00C1680D">
      <w:pPr>
        <w:tabs>
          <w:tab w:val="left" w:pos="4050"/>
        </w:tabs>
        <w:jc w:val="center"/>
        <w:rPr>
          <w:rFonts w:ascii="Times New Roman" w:hAnsi="Times New Roman" w:cs="Times New Roman"/>
          <w:b/>
          <w:bCs/>
          <w:sz w:val="24"/>
          <w:szCs w:val="24"/>
        </w:rPr>
      </w:pPr>
      <w:r w:rsidRPr="00C1680D">
        <w:rPr>
          <w:rFonts w:ascii="Times New Roman" w:hAnsi="Times New Roman" w:cs="Times New Roman"/>
          <w:b/>
          <w:bCs/>
          <w:sz w:val="24"/>
          <w:szCs w:val="24"/>
        </w:rPr>
        <w:t>OBG</w:t>
      </w:r>
    </w:p>
    <w:p w:rsidR="00C1680D" w:rsidRPr="00C1680D" w:rsidRDefault="00C1680D" w:rsidP="00C1680D">
      <w:pPr>
        <w:spacing w:line="240" w:lineRule="auto"/>
        <w:rPr>
          <w:rFonts w:ascii="Times New Roman" w:hAnsi="Times New Roman" w:cs="Times New Roman"/>
          <w:sz w:val="24"/>
          <w:szCs w:val="24"/>
        </w:rPr>
      </w:pPr>
      <w:r w:rsidRPr="00C1680D">
        <w:rPr>
          <w:rFonts w:ascii="Times New Roman" w:hAnsi="Times New Roman" w:cs="Times New Roman"/>
          <w:sz w:val="24"/>
          <w:szCs w:val="24"/>
        </w:rPr>
        <w:t>1:- Association of Menstrual Disorders with Body Mass Index in Undergraduate Medical            Student:. International Journal of Human and Health Sciences| Vol. 5;Issue-3; pp-330-335/July 2021.</w:t>
      </w:r>
    </w:p>
    <w:p w:rsidR="00C1680D" w:rsidRPr="00C1680D" w:rsidRDefault="00C1680D" w:rsidP="00C1680D">
      <w:pPr>
        <w:spacing w:line="240" w:lineRule="auto"/>
        <w:rPr>
          <w:rFonts w:ascii="Times New Roman" w:hAnsi="Times New Roman" w:cs="Times New Roman"/>
          <w:b/>
          <w:bCs/>
          <w:sz w:val="24"/>
          <w:szCs w:val="24"/>
        </w:rPr>
      </w:pPr>
      <w:r w:rsidRPr="00C1680D">
        <w:rPr>
          <w:rFonts w:ascii="Times New Roman" w:hAnsi="Times New Roman" w:cs="Times New Roman"/>
          <w:b/>
          <w:bCs/>
          <w:sz w:val="24"/>
          <w:szCs w:val="24"/>
        </w:rPr>
        <w:t>By. Shabnam Rizvi, Fareha Khatoon , Ayesha Ahmad , Kashish                               Ayaz Khan, Ekta Kajal Singh.</w:t>
      </w:r>
    </w:p>
    <w:p w:rsidR="00C1680D" w:rsidRPr="00C1680D" w:rsidRDefault="00C1680D" w:rsidP="00C1680D">
      <w:pPr>
        <w:spacing w:line="240" w:lineRule="auto"/>
        <w:rPr>
          <w:rFonts w:ascii="Times New Roman" w:hAnsi="Times New Roman" w:cs="Times New Roman"/>
          <w:sz w:val="24"/>
          <w:szCs w:val="24"/>
        </w:rPr>
      </w:pPr>
      <w:r w:rsidRPr="00C1680D">
        <w:rPr>
          <w:rFonts w:ascii="Times New Roman" w:hAnsi="Times New Roman" w:cs="Times New Roman"/>
          <w:sz w:val="24"/>
          <w:szCs w:val="24"/>
        </w:rPr>
        <w:t>2:- Asymptomatic bacteriuria  among pregnant women attending tertiary care hospital in Lucknow Career Institute of Medical Sciences &amp; Hospital. Dubai Medical Journal DMJ 10.1159/000513626 dated 04/02/2021.</w:t>
      </w:r>
    </w:p>
    <w:p w:rsidR="00C1680D" w:rsidRPr="00C1680D" w:rsidRDefault="00C1680D" w:rsidP="00C1680D">
      <w:pPr>
        <w:spacing w:line="240" w:lineRule="auto"/>
        <w:rPr>
          <w:rFonts w:ascii="Times New Roman" w:hAnsi="Times New Roman" w:cs="Times New Roman"/>
          <w:b/>
          <w:bCs/>
          <w:sz w:val="24"/>
          <w:szCs w:val="24"/>
        </w:rPr>
      </w:pPr>
      <w:r w:rsidRPr="00C1680D">
        <w:rPr>
          <w:rFonts w:ascii="Times New Roman" w:hAnsi="Times New Roman" w:cs="Times New Roman"/>
          <w:b/>
          <w:bCs/>
          <w:sz w:val="24"/>
          <w:szCs w:val="24"/>
        </w:rPr>
        <w:t>BY:. Suman Gupta</w:t>
      </w:r>
    </w:p>
    <w:p w:rsidR="00C1680D" w:rsidRPr="00C1680D" w:rsidRDefault="00C1680D" w:rsidP="00C1680D">
      <w:pPr>
        <w:tabs>
          <w:tab w:val="left" w:pos="4050"/>
        </w:tabs>
        <w:jc w:val="center"/>
        <w:rPr>
          <w:rFonts w:ascii="Times New Roman" w:hAnsi="Times New Roman" w:cs="Times New Roman"/>
          <w:b/>
          <w:bCs/>
          <w:sz w:val="24"/>
          <w:szCs w:val="24"/>
        </w:rPr>
      </w:pPr>
    </w:p>
    <w:sectPr w:rsidR="00C1680D" w:rsidRPr="00C1680D" w:rsidSect="00A1292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121" w:rsidRDefault="00B40121" w:rsidP="00E312F9">
      <w:pPr>
        <w:spacing w:after="0" w:line="240" w:lineRule="auto"/>
      </w:pPr>
      <w:r>
        <w:separator/>
      </w:r>
    </w:p>
  </w:endnote>
  <w:endnote w:type="continuationSeparator" w:id="1">
    <w:p w:rsidR="00B40121" w:rsidRDefault="00B40121" w:rsidP="00E31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121" w:rsidRDefault="00B40121" w:rsidP="00E312F9">
      <w:pPr>
        <w:spacing w:after="0" w:line="240" w:lineRule="auto"/>
      </w:pPr>
      <w:r>
        <w:separator/>
      </w:r>
    </w:p>
  </w:footnote>
  <w:footnote w:type="continuationSeparator" w:id="1">
    <w:p w:rsidR="00B40121" w:rsidRDefault="00B40121" w:rsidP="00E312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3A68"/>
    <w:multiLevelType w:val="hybridMultilevel"/>
    <w:tmpl w:val="EB00F73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020E26"/>
    <w:multiLevelType w:val="hybridMultilevel"/>
    <w:tmpl w:val="8FF2D294"/>
    <w:lvl w:ilvl="0" w:tplc="0054F83E">
      <w:start w:val="1"/>
      <w:numFmt w:val="decimal"/>
      <w:lvlText w:val="%1."/>
      <w:lvlJc w:val="left"/>
      <w:pPr>
        <w:ind w:left="405" w:hanging="360"/>
      </w:pPr>
      <w:rPr>
        <w:rFonts w:asciiTheme="majorHAnsi" w:hAnsiTheme="majorHAnsi" w:cs="Times New Roman" w:hint="default"/>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BB5632"/>
    <w:multiLevelType w:val="hybridMultilevel"/>
    <w:tmpl w:val="916EC5BA"/>
    <w:lvl w:ilvl="0" w:tplc="1EF60F3A">
      <w:start w:val="1"/>
      <w:numFmt w:val="decimal"/>
      <w:lvlText w:val="%1."/>
      <w:lvlJc w:val="left"/>
      <w:pPr>
        <w:ind w:left="720" w:hanging="360"/>
      </w:pPr>
      <w:rPr>
        <w:rFonts w:ascii="Bookman Old Style" w:hAnsi="Bookman Old Style" w:hint="default"/>
        <w:b w:val="0"/>
        <w:bCs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A152567"/>
    <w:multiLevelType w:val="hybridMultilevel"/>
    <w:tmpl w:val="11649F5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607"/>
        </w:tabs>
        <w:ind w:left="1607" w:hanging="360"/>
      </w:pPr>
    </w:lvl>
    <w:lvl w:ilvl="2" w:tplc="04090005">
      <w:start w:val="1"/>
      <w:numFmt w:val="decimal"/>
      <w:lvlText w:val="%3."/>
      <w:lvlJc w:val="left"/>
      <w:pPr>
        <w:tabs>
          <w:tab w:val="num" w:pos="2327"/>
        </w:tabs>
        <w:ind w:left="2327" w:hanging="360"/>
      </w:pPr>
    </w:lvl>
    <w:lvl w:ilvl="3" w:tplc="04090001">
      <w:start w:val="1"/>
      <w:numFmt w:val="decimal"/>
      <w:lvlText w:val="%4."/>
      <w:lvlJc w:val="left"/>
      <w:pPr>
        <w:tabs>
          <w:tab w:val="num" w:pos="3047"/>
        </w:tabs>
        <w:ind w:left="3047" w:hanging="360"/>
      </w:pPr>
    </w:lvl>
    <w:lvl w:ilvl="4" w:tplc="04090003">
      <w:start w:val="1"/>
      <w:numFmt w:val="decimal"/>
      <w:lvlText w:val="%5."/>
      <w:lvlJc w:val="left"/>
      <w:pPr>
        <w:tabs>
          <w:tab w:val="num" w:pos="3767"/>
        </w:tabs>
        <w:ind w:left="3767" w:hanging="360"/>
      </w:pPr>
    </w:lvl>
    <w:lvl w:ilvl="5" w:tplc="04090005">
      <w:start w:val="1"/>
      <w:numFmt w:val="decimal"/>
      <w:lvlText w:val="%6."/>
      <w:lvlJc w:val="left"/>
      <w:pPr>
        <w:tabs>
          <w:tab w:val="num" w:pos="4487"/>
        </w:tabs>
        <w:ind w:left="4487" w:hanging="360"/>
      </w:pPr>
    </w:lvl>
    <w:lvl w:ilvl="6" w:tplc="04090001">
      <w:start w:val="1"/>
      <w:numFmt w:val="decimal"/>
      <w:lvlText w:val="%7."/>
      <w:lvlJc w:val="left"/>
      <w:pPr>
        <w:tabs>
          <w:tab w:val="num" w:pos="5207"/>
        </w:tabs>
        <w:ind w:left="5207" w:hanging="360"/>
      </w:pPr>
    </w:lvl>
    <w:lvl w:ilvl="7" w:tplc="04090003">
      <w:start w:val="1"/>
      <w:numFmt w:val="decimal"/>
      <w:lvlText w:val="%8."/>
      <w:lvlJc w:val="left"/>
      <w:pPr>
        <w:tabs>
          <w:tab w:val="num" w:pos="5927"/>
        </w:tabs>
        <w:ind w:left="5927" w:hanging="360"/>
      </w:pPr>
    </w:lvl>
    <w:lvl w:ilvl="8" w:tplc="04090005">
      <w:start w:val="1"/>
      <w:numFmt w:val="decimal"/>
      <w:lvlText w:val="%9."/>
      <w:lvlJc w:val="left"/>
      <w:pPr>
        <w:tabs>
          <w:tab w:val="num" w:pos="6647"/>
        </w:tabs>
        <w:ind w:left="6647"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E19CC"/>
    <w:rsid w:val="001E19CC"/>
    <w:rsid w:val="00254BC2"/>
    <w:rsid w:val="00384B77"/>
    <w:rsid w:val="004375AF"/>
    <w:rsid w:val="00517DDB"/>
    <w:rsid w:val="006E0CD5"/>
    <w:rsid w:val="0077056D"/>
    <w:rsid w:val="009D752F"/>
    <w:rsid w:val="00A12924"/>
    <w:rsid w:val="00AB284C"/>
    <w:rsid w:val="00AE2FD7"/>
    <w:rsid w:val="00B40121"/>
    <w:rsid w:val="00C1680D"/>
    <w:rsid w:val="00E312F9"/>
    <w:rsid w:val="00F67F09"/>
    <w:rsid w:val="00FB606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24"/>
    <w:rPr>
      <w:rFonts w:cs="Mangal"/>
    </w:rPr>
  </w:style>
  <w:style w:type="paragraph" w:styleId="Heading1">
    <w:name w:val="heading 1"/>
    <w:basedOn w:val="Normal"/>
    <w:next w:val="Normal"/>
    <w:link w:val="Heading1Char"/>
    <w:uiPriority w:val="9"/>
    <w:qFormat/>
    <w:rsid w:val="00E312F9"/>
    <w:pPr>
      <w:keepNext/>
      <w:keepLines/>
      <w:spacing w:before="240" w:after="0" w:line="240" w:lineRule="auto"/>
      <w:outlineLvl w:val="0"/>
    </w:pPr>
    <w:rPr>
      <w:rFonts w:ascii="Cambria" w:eastAsia="Times New Roman" w:hAnsi="Cambria" w:cs="Times New Roman"/>
      <w:color w:val="365F91"/>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CC"/>
    <w:pPr>
      <w:spacing w:after="0" w:line="240" w:lineRule="auto"/>
      <w:ind w:left="720"/>
    </w:pPr>
    <w:rPr>
      <w:rFonts w:ascii="Times New Roman" w:eastAsia="Times New Roman" w:hAnsi="Times New Roman"/>
      <w:sz w:val="24"/>
      <w:szCs w:val="24"/>
      <w:lang w:bidi="ar-SA"/>
    </w:rPr>
  </w:style>
  <w:style w:type="paragraph" w:styleId="NoSpacing">
    <w:name w:val="No Spacing"/>
    <w:uiPriority w:val="1"/>
    <w:qFormat/>
    <w:rsid w:val="004375AF"/>
    <w:pPr>
      <w:spacing w:after="0" w:line="240" w:lineRule="auto"/>
    </w:pPr>
    <w:rPr>
      <w:rFonts w:ascii="Times New Roman" w:eastAsia="Times New Roman" w:hAnsi="Times New Roman" w:cs="Mangal"/>
      <w:sz w:val="24"/>
      <w:szCs w:val="24"/>
      <w:lang w:bidi="ar-SA"/>
    </w:rPr>
  </w:style>
  <w:style w:type="character" w:customStyle="1" w:styleId="Heading1Char">
    <w:name w:val="Heading 1 Char"/>
    <w:basedOn w:val="DefaultParagraphFont"/>
    <w:link w:val="Heading1"/>
    <w:uiPriority w:val="9"/>
    <w:rsid w:val="00E312F9"/>
    <w:rPr>
      <w:rFonts w:ascii="Cambria" w:eastAsia="Times New Roman" w:hAnsi="Cambria" w:cs="Times New Roman"/>
      <w:color w:val="365F91"/>
      <w:sz w:val="32"/>
      <w:szCs w:val="32"/>
      <w:lang w:bidi="ar-SA"/>
    </w:rPr>
  </w:style>
  <w:style w:type="paragraph" w:customStyle="1" w:styleId="journaltitlearticledetails">
    <w:name w:val="journal_title_article_details"/>
    <w:basedOn w:val="Normal"/>
    <w:rsid w:val="00E312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312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2F9"/>
    <w:rPr>
      <w:rFonts w:cs="Mangal"/>
    </w:rPr>
  </w:style>
  <w:style w:type="paragraph" w:styleId="Footer">
    <w:name w:val="footer"/>
    <w:basedOn w:val="Normal"/>
    <w:link w:val="FooterChar"/>
    <w:uiPriority w:val="99"/>
    <w:semiHidden/>
    <w:unhideWhenUsed/>
    <w:rsid w:val="00E312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12F9"/>
    <w:rPr>
      <w:rFonts w:cs="Mangal"/>
    </w:rPr>
  </w:style>
  <w:style w:type="character" w:styleId="Hyperlink">
    <w:name w:val="Hyperlink"/>
    <w:basedOn w:val="DefaultParagraphFont"/>
    <w:uiPriority w:val="99"/>
    <w:semiHidden/>
    <w:unhideWhenUsed/>
    <w:rsid w:val="00C1680D"/>
    <w:rPr>
      <w:color w:val="0000FF"/>
      <w:u w:val="single"/>
    </w:rPr>
  </w:style>
  <w:style w:type="paragraph" w:styleId="NormalWeb">
    <w:name w:val="Normal (Web)"/>
    <w:basedOn w:val="Normal"/>
    <w:uiPriority w:val="99"/>
    <w:semiHidden/>
    <w:unhideWhenUsed/>
    <w:rsid w:val="00C168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6451814">
      <w:bodyDiv w:val="1"/>
      <w:marLeft w:val="0"/>
      <w:marRight w:val="0"/>
      <w:marTop w:val="0"/>
      <w:marBottom w:val="0"/>
      <w:divBdr>
        <w:top w:val="none" w:sz="0" w:space="0" w:color="auto"/>
        <w:left w:val="none" w:sz="0" w:space="0" w:color="auto"/>
        <w:bottom w:val="none" w:sz="0" w:space="0" w:color="auto"/>
        <w:right w:val="none" w:sz="0" w:space="0" w:color="auto"/>
      </w:divBdr>
    </w:div>
    <w:div w:id="1372419858">
      <w:bodyDiv w:val="1"/>
      <w:marLeft w:val="0"/>
      <w:marRight w:val="0"/>
      <w:marTop w:val="0"/>
      <w:marBottom w:val="0"/>
      <w:divBdr>
        <w:top w:val="none" w:sz="0" w:space="0" w:color="auto"/>
        <w:left w:val="none" w:sz="0" w:space="0" w:color="auto"/>
        <w:bottom w:val="none" w:sz="0" w:space="0" w:color="auto"/>
        <w:right w:val="none" w:sz="0" w:space="0" w:color="auto"/>
      </w:divBdr>
    </w:div>
    <w:div w:id="20271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2070-021-02819-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2025-10-16T07:53:00Z</dcterms:created>
  <dcterms:modified xsi:type="dcterms:W3CDTF">2025-10-16T08:25:00Z</dcterms:modified>
</cp:coreProperties>
</file>